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60" w:lineRule="auto"/>
        <w:ind w:left="1" w:leftChars="-67" w:hanging="142" w:hangingChars="59"/>
        <w:jc w:val="right"/>
        <w:rPr>
          <w:rFonts w:ascii="微软雅黑" w:hAnsi="微软雅黑" w:eastAsia="微软雅黑"/>
          <w:b/>
          <w:color w:val="333333"/>
        </w:rPr>
      </w:pPr>
      <w:r>
        <w:rPr>
          <w:rFonts w:hint="eastAsia" w:ascii="微软雅黑" w:hAnsi="微软雅黑" w:eastAsia="微软雅黑"/>
          <w:b/>
          <w:color w:val="333333"/>
        </w:rPr>
        <w:drawing>
          <wp:inline distT="0" distB="0" distL="0" distR="0">
            <wp:extent cx="1873885" cy="541655"/>
            <wp:effectExtent l="1905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4070" cy="5423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>
      <w:pPr>
        <w:pStyle w:val="5"/>
        <w:spacing w:line="360" w:lineRule="auto"/>
        <w:ind w:left="166" w:leftChars="-67" w:hanging="307" w:hangingChars="59"/>
        <w:jc w:val="center"/>
        <w:rPr>
          <w:rFonts w:ascii="微软雅黑" w:hAnsi="微软雅黑" w:eastAsia="微软雅黑"/>
          <w:b/>
          <w:color w:val="333333"/>
          <w:sz w:val="52"/>
          <w:szCs w:val="52"/>
        </w:rPr>
      </w:pPr>
      <w:r>
        <w:rPr>
          <w:rFonts w:hint="eastAsia" w:ascii="微软雅黑" w:hAnsi="微软雅黑" w:eastAsia="微软雅黑"/>
          <w:b/>
          <w:color w:val="333333"/>
          <w:sz w:val="52"/>
          <w:szCs w:val="52"/>
        </w:rPr>
        <w:t>海尔招聘简章</w:t>
      </w:r>
    </w:p>
    <w:p>
      <w:pPr>
        <w:pStyle w:val="5"/>
        <w:spacing w:line="360" w:lineRule="auto"/>
        <w:ind w:left="1" w:leftChars="-67" w:hanging="142" w:hangingChars="59"/>
        <w:rPr>
          <w:rFonts w:ascii="微软雅黑" w:hAnsi="微软雅黑" w:eastAsia="微软雅黑"/>
          <w:b/>
          <w:color w:val="333333"/>
        </w:rPr>
      </w:pPr>
      <w:r>
        <w:rPr>
          <w:rFonts w:hint="eastAsia" w:ascii="微软雅黑" w:hAnsi="微软雅黑" w:eastAsia="微软雅黑"/>
          <w:b/>
          <w:color w:val="333333"/>
        </w:rPr>
        <w:t>【海尔集团简介】</w:t>
      </w:r>
    </w:p>
    <w:p>
      <w:pPr>
        <w:widowControl/>
        <w:spacing w:before="68" w:after="68"/>
        <w:ind w:firstLine="431"/>
        <w:jc w:val="left"/>
        <w:rPr>
          <w:rFonts w:ascii="微软雅黑" w:hAnsi="微软雅黑" w:eastAsia="微软雅黑" w:cs="宋体"/>
          <w:color w:val="0C0C0C" w:themeColor="text1" w:themeTint="F2"/>
          <w:kern w:val="0"/>
          <w:sz w:val="18"/>
          <w:szCs w:val="18"/>
        </w:rPr>
      </w:pPr>
      <w:r>
        <w:rPr>
          <w:rFonts w:hint="eastAsia" w:ascii="微软雅黑" w:hAnsi="微软雅黑" w:eastAsia="微软雅黑"/>
          <w:color w:val="0C0C0C" w:themeColor="text1" w:themeTint="F2"/>
          <w:sz w:val="18"/>
          <w:szCs w:val="18"/>
        </w:rPr>
        <w:t>海</w:t>
      </w:r>
      <w:r>
        <w:rPr>
          <w:rFonts w:hint="eastAsia" w:ascii="微软雅黑" w:hAnsi="微软雅黑" w:eastAsia="微软雅黑" w:cs="宋体"/>
          <w:color w:val="0C0C0C" w:themeColor="text1" w:themeTint="F2"/>
          <w:kern w:val="0"/>
          <w:sz w:val="18"/>
          <w:szCs w:val="18"/>
        </w:rPr>
        <w:t>尔集团创业于1984年，是全球大型家电第一品牌，2017年，海尔以2918.96亿的品牌价值，连续九年蝉联全球大型家电第一品牌。海尔致力于成为全球消费者喜爱的本土品牌，多年来一直践行本土化研发、制造和营销的海外市场战略，连续15年蝉联中国品牌价值榜首。</w:t>
      </w:r>
      <w:r>
        <w:rPr>
          <w:rFonts w:hint="eastAsia" w:ascii="微软雅黑" w:hAnsi="微软雅黑" w:eastAsia="微软雅黑" w:cs="Tahoma"/>
          <w:kern w:val="0"/>
          <w:sz w:val="18"/>
          <w:szCs w:val="18"/>
        </w:rPr>
        <w:t>海尔在国内共建立13个大型生产</w:t>
      </w:r>
      <w:r>
        <w:rPr>
          <w:rFonts w:hint="eastAsia" w:ascii="微软雅黑" w:hAnsi="微软雅黑" w:eastAsia="微软雅黑" w:cs="宋体"/>
          <w:color w:val="0C0C0C" w:themeColor="text1" w:themeTint="F2"/>
          <w:kern w:val="0"/>
          <w:sz w:val="18"/>
          <w:szCs w:val="18"/>
        </w:rPr>
        <w:t>制造工业园区：分别位于青岛（崂山、黄岛、胶州）、大连、沈阳、天津、郑州、合肥、武汉、重庆、贵州、佛山三水、顺德工业园。</w:t>
      </w:r>
    </w:p>
    <w:p>
      <w:pPr>
        <w:pStyle w:val="5"/>
        <w:ind w:firstLine="360" w:firstLineChars="200"/>
        <w:rPr>
          <w:rFonts w:ascii="微软雅黑" w:hAnsi="微软雅黑" w:eastAsia="微软雅黑" w:cstheme="minorBidi"/>
          <w:color w:val="0C0C0C" w:themeColor="text1" w:themeTint="F2"/>
          <w:kern w:val="2"/>
          <w:sz w:val="18"/>
          <w:szCs w:val="18"/>
        </w:rPr>
      </w:pPr>
      <w:r>
        <w:rPr>
          <w:rFonts w:hint="eastAsia" w:ascii="微软雅黑" w:hAnsi="微软雅黑" w:eastAsia="微软雅黑" w:cs="Tahoma"/>
          <w:color w:val="0C0C0C" w:themeColor="text1" w:themeTint="F2"/>
          <w:sz w:val="18"/>
          <w:szCs w:val="18"/>
        </w:rPr>
        <w:t>重</w:t>
      </w:r>
      <w:r>
        <w:rPr>
          <w:rFonts w:hint="eastAsia" w:ascii="微软雅黑" w:hAnsi="微软雅黑" w:eastAsia="微软雅黑" w:cstheme="minorBidi"/>
          <w:color w:val="0C0C0C" w:themeColor="text1" w:themeTint="F2"/>
          <w:kern w:val="2"/>
          <w:sz w:val="18"/>
          <w:szCs w:val="18"/>
        </w:rPr>
        <w:t>庆海尔工业园始建于2006年，位于重庆市江北区港城南路1号，占地面积1600亩，园区建设初期定位是在西南地区集制造、物流、营销、研发及服务为一体的创牌中心，从提供产品的制造工业园区向提供综合服务的集成产业园区升级。辐射重庆、四川、云南、贵州等在内的整个西南地区，形成一个以家电为中心的产业集群，将重庆建设成为中国西南地区的家电中心。</w:t>
      </w:r>
    </w:p>
    <w:p>
      <w:pPr>
        <w:pStyle w:val="5"/>
        <w:spacing w:line="360" w:lineRule="auto"/>
        <w:rPr>
          <w:rFonts w:ascii="微软雅黑" w:hAnsi="微软雅黑" w:eastAsia="微软雅黑"/>
          <w:b/>
          <w:color w:val="333333"/>
        </w:rPr>
      </w:pPr>
      <w:r>
        <w:rPr>
          <w:rFonts w:hint="eastAsia" w:ascii="微软雅黑" w:hAnsi="微软雅黑" w:eastAsia="微软雅黑"/>
          <w:b/>
          <w:color w:val="333333"/>
        </w:rPr>
        <w:t>【招聘岗位】</w:t>
      </w:r>
    </w:p>
    <w:tbl>
      <w:tblPr>
        <w:tblStyle w:val="6"/>
        <w:tblW w:w="10065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4"/>
        <w:gridCol w:w="993"/>
        <w:gridCol w:w="708"/>
        <w:gridCol w:w="311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需求岗位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需求专业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基层生产管理类（线体班长、组长、线长）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eastAsia="zh-CN"/>
              </w:rPr>
              <w:t>电气自动化，工业机器人，数控，机电一体化，机电设备技术，电力系统自动化技术，工业过程自动化技术，机械类，模具类，智能控制，物流，计算机网络技术，信息安全与管理，人力资源管理，会计等等。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重庆市江北区港城南路一号海尔工业园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现场质量控制管理类（质量、模块检验等）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高级技师类（设备操作、维修等）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辅助管理文职类（后勤、内勤等）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pStyle w:val="5"/>
        <w:spacing w:line="301" w:lineRule="atLeast"/>
        <w:rPr>
          <w:rFonts w:ascii="微软雅黑" w:hAnsi="微软雅黑" w:eastAsia="微软雅黑"/>
          <w:color w:val="333333"/>
          <w:sz w:val="20"/>
          <w:szCs w:val="20"/>
        </w:rPr>
      </w:pPr>
      <w:r>
        <w:rPr>
          <w:rFonts w:hint="eastAsia" w:ascii="微软雅黑" w:hAnsi="微软雅黑" w:eastAsia="微软雅黑"/>
          <w:b/>
          <w:color w:val="333333"/>
        </w:rPr>
        <w:t>【薪资福利】</w:t>
      </w:r>
    </w:p>
    <w:tbl>
      <w:tblPr>
        <w:tblStyle w:val="6"/>
        <w:tblW w:w="100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5"/>
        <w:gridCol w:w="9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15" w:type="dxa"/>
            <w:shd w:val="clear" w:color="auto" w:fill="FFFFFF" w:themeFill="background1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1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20"/>
                <w:szCs w:val="20"/>
              </w:rPr>
              <w:t>项目</w:t>
            </w:r>
          </w:p>
        </w:tc>
        <w:tc>
          <w:tcPr>
            <w:tcW w:w="9218" w:type="dxa"/>
            <w:shd w:val="clear" w:color="auto" w:fill="FFFFFF" w:themeFill="background1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1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20"/>
                <w:szCs w:val="20"/>
              </w:rPr>
              <w:t>基本待遇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815" w:type="dxa"/>
            <w:shd w:val="clear" w:color="auto" w:fill="auto"/>
            <w:tcMar>
              <w:top w:w="56" w:type="dxa"/>
              <w:left w:w="109" w:type="dxa"/>
              <w:bottom w:w="56" w:type="dxa"/>
              <w:right w:w="109" w:type="dxa"/>
            </w:tcMar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1" w:lineRule="atLeast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20"/>
                <w:szCs w:val="20"/>
              </w:rPr>
              <w:t>薪资</w:t>
            </w:r>
          </w:p>
        </w:tc>
        <w:tc>
          <w:tcPr>
            <w:tcW w:w="9218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1" w:lineRule="atLeast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18"/>
                <w:szCs w:val="18"/>
              </w:rPr>
              <w:t>工资与所在单位在岗员工薪资待遇是同工同酬</w:t>
            </w:r>
          </w:p>
          <w:p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1" w:lineRule="atLeast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18"/>
                <w:szCs w:val="18"/>
              </w:rPr>
              <w:t>工资发放时间：每月12日，以工资银行转账的形式发放</w:t>
            </w:r>
          </w:p>
          <w:p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1" w:lineRule="atLeast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18"/>
                <w:szCs w:val="18"/>
              </w:rPr>
              <w:t>定岗后： 同工同酬，按单挣酬，平均月收入在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18"/>
                <w:szCs w:val="18"/>
                <w:lang w:eastAsia="zh-CN"/>
              </w:rPr>
              <w:t>45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18"/>
                <w:szCs w:val="18"/>
              </w:rPr>
              <w:t>00-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18"/>
                <w:szCs w:val="18"/>
                <w:lang w:eastAsia="zh-CN"/>
              </w:rPr>
              <w:t>800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18"/>
                <w:szCs w:val="18"/>
              </w:rPr>
              <w:t>0元/月之间，另有自主账户分享</w:t>
            </w:r>
          </w:p>
          <w:p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1" w:lineRule="atLeast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18"/>
                <w:szCs w:val="18"/>
              </w:rPr>
              <w:t>年终奖：根据公司效益、个人表现考核兑现 （年终奖约为2倍的月均工资）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815" w:type="dxa"/>
            <w:shd w:val="clear" w:color="auto" w:fill="auto"/>
            <w:tcMar>
              <w:top w:w="56" w:type="dxa"/>
              <w:left w:w="109" w:type="dxa"/>
              <w:bottom w:w="56" w:type="dxa"/>
              <w:right w:w="109" w:type="dxa"/>
            </w:tcMar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1" w:lineRule="atLeast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20"/>
                <w:szCs w:val="20"/>
              </w:rPr>
              <w:t>住宿</w:t>
            </w:r>
          </w:p>
        </w:tc>
        <w:tc>
          <w:tcPr>
            <w:tcW w:w="9218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1" w:lineRule="atLeast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18"/>
                <w:szCs w:val="18"/>
              </w:rPr>
              <w:t>住宿免费，提供职工公寓4-6人间，由物业统一管理，并房间配备空调、热水器、且统一配备电视、洗衣机、乒乓球室、篮球场、超市、餐厅及健身器材等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815" w:type="dxa"/>
            <w:shd w:val="clear" w:color="auto" w:fill="auto"/>
            <w:tcMar>
              <w:top w:w="56" w:type="dxa"/>
              <w:left w:w="109" w:type="dxa"/>
              <w:bottom w:w="56" w:type="dxa"/>
              <w:right w:w="109" w:type="dxa"/>
            </w:tcMar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1" w:lineRule="atLeast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20"/>
                <w:szCs w:val="20"/>
              </w:rPr>
              <w:t>福利</w:t>
            </w:r>
          </w:p>
        </w:tc>
        <w:tc>
          <w:tcPr>
            <w:tcW w:w="9218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1" w:lineRule="atLeast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18"/>
                <w:szCs w:val="18"/>
              </w:rPr>
              <w:t>实习期签订实习协议，购买意外伤害险。毕业后签订劳动合同，并按国家规定统一缴纳社会保险</w:t>
            </w:r>
          </w:p>
          <w:p>
            <w:pPr>
              <w:widowControl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1" w:lineRule="atLeast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18"/>
                <w:szCs w:val="18"/>
              </w:rPr>
              <w:t>每月工作餐补贴：两餐，18元/天，工资之外，统一充值到餐卡中使用</w:t>
            </w:r>
          </w:p>
          <w:p>
            <w:pPr>
              <w:widowControl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1" w:lineRule="atLeast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18"/>
                <w:szCs w:val="18"/>
              </w:rPr>
              <w:t>统一提供工作服（每年2套），提供岗位必要的劳动保护用品</w:t>
            </w:r>
          </w:p>
          <w:p>
            <w:pPr>
              <w:widowControl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1" w:lineRule="atLeast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18"/>
                <w:szCs w:val="18"/>
              </w:rPr>
              <w:t>每年6-9月份发放高温补贴（300元/月，另发放高温物资）、冬季发放烤火费。</w:t>
            </w:r>
          </w:p>
          <w:p>
            <w:pPr>
              <w:widowControl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1" w:lineRule="atLeast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18"/>
                <w:szCs w:val="18"/>
              </w:rPr>
              <w:t>春节往返提供免费包车或报销相关费用</w:t>
            </w:r>
          </w:p>
          <w:p>
            <w:pPr>
              <w:widowControl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1" w:lineRule="atLeast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每年春节发放年货（1000元，一次性支付） </w:t>
            </w:r>
          </w:p>
          <w:p>
            <w:pPr>
              <w:widowControl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1" w:lineRule="atLeast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18"/>
                <w:szCs w:val="18"/>
              </w:rPr>
              <w:t>每年12.26日厂庆福利(每满一年加100元，上不封顶）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815" w:type="dxa"/>
            <w:shd w:val="clear" w:color="auto" w:fill="auto"/>
            <w:tcMar>
              <w:top w:w="56" w:type="dxa"/>
              <w:left w:w="109" w:type="dxa"/>
              <w:bottom w:w="56" w:type="dxa"/>
              <w:right w:w="109" w:type="dxa"/>
            </w:tcMar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1" w:lineRule="atLeast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20"/>
                <w:szCs w:val="20"/>
              </w:rPr>
              <w:t>培训</w:t>
            </w:r>
          </w:p>
        </w:tc>
        <w:tc>
          <w:tcPr>
            <w:tcW w:w="9218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</w:tcPr>
          <w:p>
            <w:pPr>
              <w:widowControl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1" w:lineRule="atLeast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18"/>
                <w:szCs w:val="18"/>
              </w:rPr>
              <w:t>公司免费为员工提供岗前培训及各类专业技术或知识培训，定期进行多技能培训，岗位资格认证等。企业自办企业大学（海尔大学），给每位海尔人提供了继续深造的平台。</w:t>
            </w:r>
          </w:p>
        </w:tc>
      </w:tr>
    </w:tbl>
    <w:p>
      <w:pPr>
        <w:pStyle w:val="5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1" w:lineRule="atLeast"/>
        <w:rPr>
          <w:rFonts w:ascii="微软雅黑" w:hAnsi="微软雅黑" w:eastAsia="微软雅黑"/>
          <w:b/>
          <w:color w:val="333333"/>
          <w:sz w:val="18"/>
          <w:szCs w:val="18"/>
        </w:rPr>
      </w:pPr>
    </w:p>
    <w:sectPr>
      <w:pgSz w:w="11906" w:h="16838"/>
      <w:pgMar w:top="142" w:right="1133" w:bottom="426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9A2B78"/>
    <w:multiLevelType w:val="multilevel"/>
    <w:tmpl w:val="1A9A2B78"/>
    <w:lvl w:ilvl="0" w:tentative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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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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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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1CA40970"/>
    <w:multiLevelType w:val="multilevel"/>
    <w:tmpl w:val="1CA40970"/>
    <w:lvl w:ilvl="0" w:tentative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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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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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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22C64107"/>
    <w:multiLevelType w:val="multilevel"/>
    <w:tmpl w:val="22C64107"/>
    <w:lvl w:ilvl="0" w:tentative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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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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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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252F30A7"/>
    <w:multiLevelType w:val="multilevel"/>
    <w:tmpl w:val="252F30A7"/>
    <w:lvl w:ilvl="0" w:tentative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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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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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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22AB2725"/>
    <w:rsid w:val="64673E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0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HTML 预设格式 Char"/>
    <w:basedOn w:val="7"/>
    <w:link w:val="5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haier</Company>
  <Pages>1</Pages>
  <Words>184</Words>
  <Characters>1055</Characters>
  <Lines>8</Lines>
  <Paragraphs>2</Paragraphs>
  <TotalTime>0</TotalTime>
  <ScaleCrop>false</ScaleCrop>
  <LinksUpToDate>false</LinksUpToDate>
  <CharactersWithSpaces>1237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2016-09-02T14:42:00Z</dcterms:created>
  <dc:creator>01171533</dc:creator>
  <cp:lastModifiedBy>Lenovo</cp:lastModifiedBy>
  <cp:lastPrinted>2018-12-08T13:31:00Z</cp:lastPrinted>
  <dcterms:modified xsi:type="dcterms:W3CDTF">2022-11-04T07:53:52Z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508F33DBE3C138DE094F3361B5B34A66</vt:lpwstr>
  </property>
  <property fmtid="{D5CDD505-2E9C-101B-9397-08002B2CF9AE}" pid="3" name="KSOProductBuildVer">
    <vt:lpwstr>2052-11.8.2.10393</vt:lpwstr>
  </property>
</Properties>
</file>